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附件1：</w:t>
      </w: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cs="Times New Roman" w:asciiTheme="minorEastAsia" w:hAnsiTheme="minorEastAsia"/>
          <w:b/>
          <w:bCs/>
          <w:sz w:val="28"/>
          <w:szCs w:val="28"/>
        </w:rPr>
      </w:pPr>
      <w:r>
        <w:rPr>
          <w:rFonts w:hint="eastAsia" w:cs="Times New Roman" w:asciiTheme="minorEastAsia" w:hAnsiTheme="minorEastAsia"/>
          <w:b/>
          <w:bCs/>
          <w:sz w:val="28"/>
          <w:szCs w:val="28"/>
        </w:rPr>
        <w:t>2016年度课题选题指南</w:t>
      </w:r>
    </w:p>
    <w:p>
      <w:pPr>
        <w:tabs>
          <w:tab w:val="left" w:pos="0"/>
        </w:tabs>
        <w:spacing w:line="480" w:lineRule="exact"/>
        <w:ind w:firstLine="562" w:firstLineChars="200"/>
        <w:rPr>
          <w:rFonts w:ascii="宋体" w:hAnsi="宋体" w:eastAsia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重点课题选题方向（12个）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高等职业教育创新发展研究；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现代职业教育体系研究；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现代学徒制理论基础和实践模式研究；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职业教育集团化办学研究；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高职教育混合所有制办学研究；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高职教育技术技能积累与创新机制研究；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职业精神培育研究；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供给侧与创新高等职业教育研究；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高职院校质量保障体系与内控机制研究；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高职教育服务“一带一路”战略研究；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转型升级中高职院校创新创业教育研究；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高等职业教育引领职业教育科学发展研究；</w:t>
      </w:r>
    </w:p>
    <w:p>
      <w:pPr>
        <w:tabs>
          <w:tab w:val="left" w:pos="0"/>
        </w:tabs>
        <w:spacing w:line="480" w:lineRule="exact"/>
        <w:rPr>
          <w:rFonts w:ascii="宋体" w:hAnsi="宋体" w:eastAsia="宋体" w:cs="Times New Roman"/>
          <w:color w:val="000000"/>
          <w:sz w:val="28"/>
          <w:szCs w:val="28"/>
        </w:rPr>
      </w:pPr>
    </w:p>
    <w:p>
      <w:pPr>
        <w:tabs>
          <w:tab w:val="left" w:pos="0"/>
        </w:tabs>
        <w:spacing w:line="480" w:lineRule="exact"/>
        <w:ind w:firstLine="562" w:firstLineChars="200"/>
        <w:rPr>
          <w:rFonts w:ascii="宋体" w:hAnsi="宋体" w:eastAsia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一般课题选题方向（3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个）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以新发展理念指导高等职业教育改革发展研究；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高等职业教育区域协调发展研究；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高等职业教育对经济增长的贡献研究；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高等职业教育协同创新机制研究；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高等职业教育教学改革与产业转型升级衔接研究；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区域经济产业结构调整与高职院校人才培养适应性研究；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中国制造2025对高职院校人才培养的新要求研究；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本科层次职业教育发展研究；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高职院校社会服务能力研究；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职业培训促进就业研究；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ascii="宋体" w:hAnsi="宋体" w:eastAsia="宋体" w:cs="Times New Roman"/>
          <w:color w:val="000000"/>
          <w:sz w:val="28"/>
          <w:szCs w:val="28"/>
        </w:rPr>
        <w:t>“互联网+”时代下的高等职业教育发展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策略研究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“互联网+”背景下高职院校教师专业发展机制创新研究；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高职院校教师企业实践运行机制研究；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大数据与高职院校信息化建设；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高职院校教学标准体系研究；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高职院校建立学分积累与转换制度研究；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高职院校专业设置预警机制研究；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高职院校与应用型本科课程的衔接研究；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高职院校微课程设计模式研究；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高职院校“课赛融合”教学模式研究；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行业企业参与职业教育机制研究；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高职教育产教融合机制研究；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高职院校促进校企合作的体制机制研究；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高职院校产教融合、校企合作的案例研究；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高等职业院校实践教学机制研究；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高职教育实训基地建设、运行机制与共享策略研究；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高职院校“立德树人”与培育和践行社会主义核心价值观研究；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高职院校辅导员队伍专业化职业化建设研究；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高职院校文化校园与文化软实力研究；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新形势下高职院校校友会组织建设研究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hint="eastAsia" w:ascii="宋体" w:hAnsi="宋体" w:eastAsia="宋体" w:cs="Times New Roman"/>
          <w:color w:val="000000"/>
          <w:sz w:val="28"/>
          <w:szCs w:val="28"/>
        </w:rPr>
      </w:pPr>
      <w:r>
        <w:rPr>
          <w:rFonts w:hint="default" w:ascii="宋体" w:hAnsi="宋体" w:eastAsia="宋体" w:cs="Times New Roman"/>
          <w:color w:val="000000"/>
          <w:sz w:val="28"/>
          <w:szCs w:val="28"/>
        </w:rPr>
        <w:t>校友文化与品牌高职院校建设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高职院校学生有效学习研究；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高职院校毕业生可持续发展研究；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高职学生职业技能与职业精神融合研究；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高职院校教育质量督导、</w:t>
      </w:r>
      <w:r>
        <w:rPr>
          <w:rFonts w:ascii="宋体" w:hAnsi="宋体" w:eastAsia="宋体" w:cs="Times New Roman"/>
          <w:color w:val="000000"/>
          <w:sz w:val="28"/>
          <w:szCs w:val="28"/>
        </w:rPr>
        <w:t>评价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、</w:t>
      </w:r>
      <w:r>
        <w:rPr>
          <w:rFonts w:ascii="宋体" w:hAnsi="宋体" w:eastAsia="宋体" w:cs="Times New Roman"/>
          <w:color w:val="000000"/>
          <w:sz w:val="28"/>
          <w:szCs w:val="28"/>
        </w:rPr>
        <w:t>监测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和第三方评估模式研究；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职业教育国际合作与交流研究；</w:t>
      </w:r>
    </w:p>
    <w:p>
      <w:pPr>
        <w:tabs>
          <w:tab w:val="left" w:pos="0"/>
        </w:tabs>
        <w:spacing w:line="480" w:lineRule="exact"/>
        <w:ind w:firstLine="560" w:firstLineChars="20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高职教育发展的国际比较研究。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cs="Times New Roman" w:asciiTheme="minorEastAsia" w:hAnsiTheme="minorEastAsia"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经典圆体简">
    <w:altName w:val="黑体"/>
    <w:panose1 w:val="00000000000000000000"/>
    <w:charset w:val="86"/>
    <w:family w:val="swiss"/>
    <w:pitch w:val="default"/>
    <w:sig w:usb0="00000000" w:usb1="00000000" w:usb2="0000001E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经典圆体简">
    <w:altName w:val="黑体"/>
    <w:panose1 w:val="00000000000000000000"/>
    <w:charset w:val="86"/>
    <w:family w:val="decorative"/>
    <w:pitch w:val="default"/>
    <w:sig w:usb0="00000000" w:usb1="00000000" w:usb2="0000001E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经典圆体简">
    <w:altName w:val="黑体"/>
    <w:panose1 w:val="00000000000000000000"/>
    <w:charset w:val="86"/>
    <w:family w:val="roman"/>
    <w:pitch w:val="default"/>
    <w:sig w:usb0="00000000" w:usb1="00000000" w:usb2="0000001E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经典圆体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6BC"/>
    <w:rsid w:val="006B43CD"/>
    <w:rsid w:val="00F236BC"/>
    <w:rsid w:val="706924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2016-04-27T07:44:00Z</dcterms:created>
  <dc:creator>lenovo</dc:creator>
  <cp:lastModifiedBy>lenovo</cp:lastModifiedBy>
  <dcterms:modified xsi:type="dcterms:W3CDTF">2016-05-01T06:33:59Z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