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olor w:val="000000"/>
          <w:sz w:val="32"/>
          <w:szCs w:val="32"/>
        </w:rPr>
      </w:pPr>
      <w:bookmarkStart w:id="0" w:name="_GoBack"/>
      <w:bookmarkEnd w:id="0"/>
      <w:r>
        <w:rPr>
          <w:rFonts w:hint="eastAsia" w:ascii="仿宋" w:hAnsi="仿宋" w:eastAsia="仿宋"/>
          <w:color w:val="000000"/>
          <w:sz w:val="32"/>
          <w:szCs w:val="32"/>
        </w:rPr>
        <w:t>附件1</w:t>
      </w:r>
    </w:p>
    <w:p>
      <w:pPr>
        <w:jc w:val="center"/>
        <w:rPr>
          <w:rFonts w:hint="eastAsia" w:ascii="黑体" w:hAnsi="黑体" w:eastAsia="黑体"/>
          <w:b/>
          <w:color w:val="000000"/>
          <w:sz w:val="36"/>
          <w:szCs w:val="36"/>
        </w:rPr>
      </w:pPr>
      <w:r>
        <w:rPr>
          <w:rFonts w:hint="eastAsia" w:ascii="黑体" w:hAnsi="黑体" w:eastAsia="黑体"/>
          <w:b/>
          <w:color w:val="000000"/>
          <w:sz w:val="36"/>
          <w:szCs w:val="36"/>
        </w:rPr>
        <w:t>厦门市教育科学规划课题管理办法</w:t>
      </w:r>
    </w:p>
    <w:p>
      <w:pPr>
        <w:jc w:val="center"/>
        <w:rPr>
          <w:rFonts w:hint="eastAsia" w:ascii="仿宋" w:hAnsi="仿宋" w:eastAsia="仿宋"/>
          <w:color w:val="000000"/>
          <w:sz w:val="32"/>
          <w:szCs w:val="32"/>
        </w:rPr>
      </w:pPr>
      <w:r>
        <w:rPr>
          <w:rFonts w:hint="eastAsia" w:ascii="仿宋" w:hAnsi="仿宋" w:eastAsia="仿宋"/>
          <w:color w:val="000000"/>
          <w:sz w:val="32"/>
          <w:szCs w:val="32"/>
        </w:rPr>
        <w:t>（2021年3月修订）</w:t>
      </w:r>
    </w:p>
    <w:p>
      <w:pPr>
        <w:jc w:val="center"/>
        <w:rPr>
          <w:rFonts w:hint="eastAsia" w:ascii="仿宋" w:hAnsi="仿宋" w:eastAsia="仿宋"/>
          <w:b/>
          <w:color w:val="000000"/>
          <w:sz w:val="32"/>
          <w:szCs w:val="32"/>
        </w:rPr>
      </w:pPr>
      <w:r>
        <w:rPr>
          <w:rFonts w:hint="eastAsia" w:ascii="仿宋" w:hAnsi="仿宋" w:eastAsia="仿宋"/>
          <w:b/>
          <w:color w:val="000000"/>
          <w:sz w:val="32"/>
          <w:szCs w:val="32"/>
        </w:rPr>
        <w:t>第一章  总则</w:t>
      </w:r>
    </w:p>
    <w:p>
      <w:pPr>
        <w:ind w:firstLine="643" w:firstLineChars="200"/>
        <w:rPr>
          <w:rFonts w:hint="eastAsia" w:ascii="仿宋" w:hAnsi="仿宋" w:eastAsia="仿宋"/>
          <w:color w:val="000000"/>
          <w:sz w:val="32"/>
          <w:szCs w:val="32"/>
        </w:rPr>
      </w:pPr>
      <w:r>
        <w:rPr>
          <w:rFonts w:hint="eastAsia" w:ascii="仿宋" w:hAnsi="仿宋" w:eastAsia="仿宋"/>
          <w:b/>
          <w:color w:val="000000"/>
          <w:sz w:val="32"/>
          <w:szCs w:val="32"/>
        </w:rPr>
        <w:t xml:space="preserve">第一条 </w:t>
      </w:r>
      <w:r>
        <w:rPr>
          <w:rFonts w:hint="eastAsia" w:ascii="仿宋" w:hAnsi="仿宋" w:eastAsia="仿宋"/>
          <w:color w:val="000000"/>
          <w:sz w:val="32"/>
          <w:szCs w:val="32"/>
        </w:rPr>
        <w:t xml:space="preserve"> 为进一步规范厦门市教育科学规划课题管理，提高课题研究质量和效益，促进教育科学事业繁荣发展，特制订本办法。</w:t>
      </w:r>
    </w:p>
    <w:p>
      <w:pPr>
        <w:ind w:firstLine="643" w:firstLineChars="200"/>
        <w:rPr>
          <w:rFonts w:hint="eastAsia" w:ascii="仿宋" w:hAnsi="仿宋" w:eastAsia="仿宋"/>
          <w:color w:val="000000"/>
          <w:sz w:val="32"/>
          <w:szCs w:val="32"/>
        </w:rPr>
      </w:pPr>
      <w:r>
        <w:rPr>
          <w:rFonts w:hint="eastAsia" w:ascii="仿宋" w:hAnsi="仿宋" w:eastAsia="仿宋"/>
          <w:b/>
          <w:color w:val="000000"/>
          <w:sz w:val="32"/>
          <w:szCs w:val="32"/>
        </w:rPr>
        <w:t>第二条</w:t>
      </w:r>
      <w:r>
        <w:rPr>
          <w:rFonts w:hint="eastAsia" w:ascii="仿宋" w:hAnsi="仿宋" w:eastAsia="仿宋"/>
          <w:color w:val="000000"/>
          <w:sz w:val="32"/>
          <w:szCs w:val="32"/>
        </w:rPr>
        <w:t xml:space="preserve">  厦门市教育科学规划课题要以习近平新时代中国特色社会主义思想为指导，贯彻落实</w:t>
      </w:r>
      <w:r>
        <w:rPr>
          <w:rFonts w:ascii="仿宋" w:hAnsi="仿宋" w:eastAsia="仿宋"/>
          <w:color w:val="000000"/>
          <w:sz w:val="32"/>
          <w:szCs w:val="32"/>
        </w:rPr>
        <w:t>党和国家的教育方针、政策和有关教育法律、法规</w:t>
      </w:r>
      <w:r>
        <w:rPr>
          <w:rFonts w:hint="eastAsia" w:ascii="仿宋" w:hAnsi="仿宋" w:eastAsia="仿宋"/>
          <w:color w:val="000000"/>
          <w:sz w:val="32"/>
          <w:szCs w:val="32"/>
        </w:rPr>
        <w:t>，围绕中心，服务大局，坚持改革创新，不断提高教育科研质量和服务水平，为</w:t>
      </w:r>
      <w:r>
        <w:rPr>
          <w:rFonts w:ascii="仿宋" w:hAnsi="仿宋" w:eastAsia="仿宋"/>
          <w:color w:val="000000"/>
          <w:sz w:val="32"/>
          <w:szCs w:val="32"/>
        </w:rPr>
        <w:t>加快建设教育现代化强市、办好人民满意的教育</w:t>
      </w:r>
      <w:r>
        <w:rPr>
          <w:rFonts w:hint="eastAsia" w:ascii="仿宋" w:hAnsi="仿宋" w:eastAsia="仿宋"/>
          <w:color w:val="000000"/>
          <w:sz w:val="32"/>
          <w:szCs w:val="32"/>
        </w:rPr>
        <w:t>提供有力的智力支持和知识贡献。</w:t>
      </w:r>
    </w:p>
    <w:p>
      <w:pPr>
        <w:ind w:firstLine="643" w:firstLineChars="200"/>
        <w:rPr>
          <w:rFonts w:hint="eastAsia" w:ascii="仿宋" w:hAnsi="仿宋" w:eastAsia="仿宋"/>
          <w:color w:val="000000"/>
          <w:sz w:val="32"/>
          <w:szCs w:val="32"/>
        </w:rPr>
      </w:pPr>
      <w:r>
        <w:rPr>
          <w:rFonts w:hint="eastAsia" w:ascii="仿宋" w:hAnsi="仿宋" w:eastAsia="仿宋"/>
          <w:b/>
          <w:color w:val="000000"/>
          <w:sz w:val="32"/>
          <w:szCs w:val="32"/>
        </w:rPr>
        <w:t xml:space="preserve">第三条 </w:t>
      </w:r>
      <w:r>
        <w:rPr>
          <w:rFonts w:hint="eastAsia" w:ascii="仿宋" w:hAnsi="仿宋" w:eastAsia="仿宋"/>
          <w:color w:val="000000"/>
          <w:sz w:val="32"/>
          <w:szCs w:val="32"/>
        </w:rPr>
        <w:t xml:space="preserve"> 厦门市教育科学规划课题面向全市、坚持导向、公平公正、保证重点、择优立项、确保质量。</w:t>
      </w:r>
    </w:p>
    <w:p>
      <w:pPr>
        <w:jc w:val="center"/>
        <w:rPr>
          <w:rFonts w:hint="eastAsia" w:ascii="仿宋" w:hAnsi="仿宋" w:eastAsia="仿宋"/>
          <w:b/>
          <w:color w:val="000000"/>
          <w:sz w:val="32"/>
          <w:szCs w:val="32"/>
        </w:rPr>
      </w:pPr>
      <w:r>
        <w:rPr>
          <w:rFonts w:hint="eastAsia" w:ascii="仿宋" w:hAnsi="仿宋" w:eastAsia="仿宋"/>
          <w:b/>
          <w:color w:val="000000"/>
          <w:sz w:val="32"/>
          <w:szCs w:val="32"/>
        </w:rPr>
        <w:t>第二章  组织</w:t>
      </w:r>
    </w:p>
    <w:p>
      <w:pPr>
        <w:ind w:firstLine="643" w:firstLineChars="200"/>
        <w:rPr>
          <w:rFonts w:hint="eastAsia" w:ascii="仿宋" w:hAnsi="仿宋" w:eastAsia="仿宋"/>
          <w:color w:val="000000"/>
          <w:sz w:val="32"/>
          <w:szCs w:val="32"/>
        </w:rPr>
      </w:pPr>
      <w:r>
        <w:rPr>
          <w:rFonts w:hint="eastAsia" w:ascii="仿宋" w:hAnsi="仿宋" w:eastAsia="仿宋"/>
          <w:b/>
          <w:color w:val="000000"/>
          <w:sz w:val="32"/>
          <w:szCs w:val="32"/>
        </w:rPr>
        <w:t xml:space="preserve">第四条 </w:t>
      </w:r>
      <w:r>
        <w:rPr>
          <w:rFonts w:hint="eastAsia" w:ascii="仿宋" w:hAnsi="仿宋" w:eastAsia="仿宋"/>
          <w:color w:val="000000"/>
          <w:sz w:val="32"/>
          <w:szCs w:val="32"/>
        </w:rPr>
        <w:t xml:space="preserve"> 厦门市教育科学研究规划领导小组（以下简称“领导小组”）领导全市教育科学研究规划管理工作。</w:t>
      </w:r>
    </w:p>
    <w:p>
      <w:pPr>
        <w:ind w:firstLine="643" w:firstLineChars="200"/>
        <w:rPr>
          <w:rFonts w:hint="eastAsia" w:ascii="仿宋_GB2312" w:hAnsi="仿宋" w:eastAsia="仿宋_GB2312"/>
          <w:color w:val="000000"/>
          <w:sz w:val="27"/>
          <w:szCs w:val="27"/>
          <w:shd w:val="clear" w:color="auto" w:fill="FFFFFF"/>
        </w:rPr>
      </w:pPr>
      <w:r>
        <w:rPr>
          <w:rFonts w:hint="eastAsia" w:ascii="仿宋" w:hAnsi="仿宋" w:eastAsia="仿宋"/>
          <w:b/>
          <w:color w:val="000000"/>
          <w:sz w:val="32"/>
          <w:szCs w:val="32"/>
        </w:rPr>
        <w:t>第五条</w:t>
      </w:r>
      <w:r>
        <w:rPr>
          <w:rFonts w:hint="eastAsia" w:ascii="仿宋" w:hAnsi="仿宋" w:eastAsia="仿宋"/>
          <w:color w:val="000000"/>
          <w:sz w:val="32"/>
          <w:szCs w:val="32"/>
        </w:rPr>
        <w:t xml:space="preserve">  厦门市教育科学研究规划领导小组办公室（以下简称“规划办”）作为厦门市教育科学研究规划领导小组的办事机构，负责全市教育科学规划课题日常管理工作。</w:t>
      </w:r>
    </w:p>
    <w:p>
      <w:pPr>
        <w:jc w:val="center"/>
        <w:rPr>
          <w:rFonts w:hint="eastAsia" w:ascii="仿宋" w:hAnsi="仿宋" w:eastAsia="仿宋"/>
          <w:b/>
          <w:color w:val="000000"/>
          <w:sz w:val="32"/>
          <w:szCs w:val="32"/>
        </w:rPr>
      </w:pPr>
      <w:r>
        <w:rPr>
          <w:rFonts w:hint="eastAsia" w:ascii="仿宋" w:hAnsi="仿宋" w:eastAsia="仿宋"/>
          <w:b/>
          <w:color w:val="000000"/>
          <w:sz w:val="32"/>
          <w:szCs w:val="32"/>
        </w:rPr>
        <w:t>第三章  课题选题和类别</w:t>
      </w:r>
    </w:p>
    <w:p>
      <w:pPr>
        <w:ind w:firstLine="643" w:firstLineChars="200"/>
        <w:rPr>
          <w:rFonts w:hint="eastAsia" w:ascii="仿宋" w:hAnsi="仿宋" w:eastAsia="仿宋"/>
          <w:color w:val="000000"/>
          <w:sz w:val="32"/>
          <w:szCs w:val="32"/>
        </w:rPr>
      </w:pPr>
      <w:r>
        <w:rPr>
          <w:rFonts w:hint="eastAsia" w:ascii="仿宋" w:hAnsi="仿宋" w:eastAsia="仿宋"/>
          <w:b/>
          <w:color w:val="000000"/>
          <w:sz w:val="32"/>
          <w:szCs w:val="32"/>
        </w:rPr>
        <w:t xml:space="preserve">第六条  </w:t>
      </w:r>
      <w:r>
        <w:rPr>
          <w:rFonts w:hint="eastAsia" w:ascii="仿宋" w:hAnsi="仿宋" w:eastAsia="仿宋"/>
          <w:color w:val="000000"/>
          <w:sz w:val="32"/>
          <w:szCs w:val="32"/>
        </w:rPr>
        <w:t>厦门市教育科学规划课题分重点课题和一般课题两类。</w:t>
      </w:r>
    </w:p>
    <w:p>
      <w:pPr>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本市被全国教育科学规划领导小组办公室立项的各类课题，由领导小组增补为市教育科学规划重点课题。由上级有关部门下达或教育改革实践中急需研究的重大课题，由领导小组审定后，立项为市教育科学规划重点课题。</w:t>
      </w:r>
    </w:p>
    <w:p>
      <w:pPr>
        <w:jc w:val="center"/>
        <w:rPr>
          <w:rFonts w:hint="eastAsia" w:ascii="仿宋" w:hAnsi="仿宋" w:eastAsia="仿宋"/>
          <w:b/>
          <w:color w:val="000000"/>
          <w:sz w:val="32"/>
          <w:szCs w:val="32"/>
        </w:rPr>
      </w:pPr>
      <w:r>
        <w:rPr>
          <w:rFonts w:hint="eastAsia" w:ascii="仿宋" w:hAnsi="仿宋" w:eastAsia="仿宋"/>
          <w:b/>
          <w:color w:val="000000"/>
          <w:sz w:val="32"/>
          <w:szCs w:val="32"/>
        </w:rPr>
        <w:t>第四章  申报</w:t>
      </w:r>
    </w:p>
    <w:p>
      <w:pPr>
        <w:tabs>
          <w:tab w:val="left" w:pos="4494"/>
        </w:tabs>
        <w:ind w:firstLine="643" w:firstLineChars="200"/>
        <w:rPr>
          <w:rFonts w:hint="eastAsia" w:ascii="仿宋" w:hAnsi="仿宋" w:eastAsia="仿宋"/>
          <w:color w:val="000000"/>
          <w:sz w:val="32"/>
          <w:szCs w:val="32"/>
        </w:rPr>
      </w:pPr>
      <w:r>
        <w:rPr>
          <w:rFonts w:hint="eastAsia" w:ascii="仿宋" w:hAnsi="仿宋" w:eastAsia="仿宋"/>
          <w:b/>
          <w:color w:val="000000"/>
          <w:sz w:val="32"/>
          <w:szCs w:val="32"/>
        </w:rPr>
        <w:t xml:space="preserve">第七条  </w:t>
      </w:r>
      <w:r>
        <w:rPr>
          <w:rFonts w:hint="eastAsia" w:ascii="仿宋" w:hAnsi="仿宋" w:eastAsia="仿宋"/>
          <w:color w:val="000000"/>
          <w:sz w:val="32"/>
          <w:szCs w:val="32"/>
        </w:rPr>
        <w:t>申请厦门市教育科学规划课题的负责人应符合以下条件：</w:t>
      </w:r>
    </w:p>
    <w:p>
      <w:pPr>
        <w:tabs>
          <w:tab w:val="left" w:pos="4494"/>
        </w:tabs>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（一）厦门市教育系统的教育工作者，遵守中华人民共和国宪法，拥护社会主义制度和中国共产党的领导。</w:t>
      </w:r>
    </w:p>
    <w:p>
      <w:pPr>
        <w:tabs>
          <w:tab w:val="left" w:pos="4494"/>
        </w:tabs>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（二）</w:t>
      </w:r>
      <w:r>
        <w:rPr>
          <w:rFonts w:hint="eastAsia" w:ascii="仿宋" w:hAnsi="仿宋" w:eastAsia="仿宋"/>
          <w:color w:val="000000"/>
          <w:spacing w:val="-4"/>
          <w:sz w:val="32"/>
          <w:szCs w:val="32"/>
        </w:rPr>
        <w:t>申请人须主持过区级及以上课题或担任过市级及以上课题的核心成员。硕士及以上学历的申请者不受此限制。</w:t>
      </w:r>
    </w:p>
    <w:p>
      <w:pPr>
        <w:tabs>
          <w:tab w:val="left" w:pos="4494"/>
        </w:tabs>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（三）申请人须是课题的实际主持者，在项目中担任实质性研究工作。</w:t>
      </w:r>
    </w:p>
    <w:p>
      <w:pPr>
        <w:tabs>
          <w:tab w:val="left" w:pos="4494"/>
        </w:tabs>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（四）申请人每年只能申报1个课题，不得交叉重复申报。已承担市级及以上课题未结题的课题主持人不能申报当年度教育科学规划课题。</w:t>
      </w:r>
    </w:p>
    <w:p>
      <w:pPr>
        <w:ind w:firstLine="643" w:firstLineChars="200"/>
        <w:rPr>
          <w:rFonts w:hint="eastAsia" w:ascii="仿宋" w:hAnsi="仿宋" w:eastAsia="仿宋"/>
          <w:color w:val="000000"/>
          <w:sz w:val="32"/>
          <w:szCs w:val="32"/>
        </w:rPr>
      </w:pPr>
      <w:r>
        <w:rPr>
          <w:rFonts w:hint="eastAsia" w:ascii="仿宋" w:hAnsi="仿宋" w:eastAsia="仿宋"/>
          <w:b/>
          <w:color w:val="000000"/>
          <w:sz w:val="32"/>
          <w:szCs w:val="32"/>
        </w:rPr>
        <w:t xml:space="preserve">第八条  </w:t>
      </w:r>
      <w:r>
        <w:rPr>
          <w:rFonts w:hint="eastAsia" w:ascii="仿宋" w:hAnsi="仿宋" w:eastAsia="仿宋"/>
          <w:color w:val="000000"/>
          <w:sz w:val="32"/>
          <w:szCs w:val="32"/>
        </w:rPr>
        <w:t>在课题申报受理期限内，申请人须按要求认真填写《厦门市教育科学规划课题申请书》和课题设计论证活页，并签署“学术诚信承诺书”，经单位审定，报送市规划办。区属学校由区教师进修学校组织推荐。</w:t>
      </w:r>
    </w:p>
    <w:p>
      <w:pPr>
        <w:ind w:firstLine="643" w:firstLineChars="200"/>
        <w:rPr>
          <w:rFonts w:hint="eastAsia" w:ascii="仿宋" w:hAnsi="仿宋" w:eastAsia="仿宋"/>
          <w:color w:val="000000"/>
          <w:sz w:val="32"/>
          <w:szCs w:val="32"/>
        </w:rPr>
      </w:pPr>
      <w:r>
        <w:rPr>
          <w:rFonts w:hint="eastAsia" w:ascii="仿宋" w:hAnsi="仿宋" w:eastAsia="仿宋"/>
          <w:b/>
          <w:color w:val="000000"/>
          <w:sz w:val="32"/>
          <w:szCs w:val="32"/>
        </w:rPr>
        <w:t>第九条</w:t>
      </w:r>
      <w:r>
        <w:rPr>
          <w:rFonts w:hint="eastAsia" w:ascii="仿宋" w:hAnsi="仿宋" w:eastAsia="仿宋"/>
          <w:color w:val="000000"/>
          <w:sz w:val="32"/>
          <w:szCs w:val="32"/>
        </w:rPr>
        <w:t xml:space="preserve">  课题申请人所在单位的负责人和科研管理部门应对申请书进行全面审核，对申请人的政治表现、业务能力、科研条件等签署明确意见，并承担信誉保证。</w:t>
      </w:r>
    </w:p>
    <w:p>
      <w:pPr>
        <w:jc w:val="center"/>
        <w:rPr>
          <w:rFonts w:hint="eastAsia" w:ascii="仿宋" w:hAnsi="仿宋" w:eastAsia="仿宋"/>
          <w:b/>
          <w:color w:val="000000"/>
          <w:sz w:val="32"/>
          <w:szCs w:val="32"/>
        </w:rPr>
      </w:pPr>
      <w:r>
        <w:rPr>
          <w:rFonts w:hint="eastAsia" w:ascii="仿宋" w:hAnsi="仿宋" w:eastAsia="仿宋"/>
          <w:b/>
          <w:color w:val="000000"/>
          <w:sz w:val="32"/>
          <w:szCs w:val="32"/>
        </w:rPr>
        <w:t>第五章  评审</w:t>
      </w:r>
    </w:p>
    <w:p>
      <w:pPr>
        <w:ind w:firstLine="643" w:firstLineChars="200"/>
        <w:rPr>
          <w:rFonts w:hint="eastAsia" w:ascii="仿宋" w:hAnsi="仿宋" w:eastAsia="仿宋"/>
          <w:color w:val="000000"/>
          <w:sz w:val="32"/>
          <w:szCs w:val="32"/>
        </w:rPr>
      </w:pPr>
      <w:r>
        <w:rPr>
          <w:rFonts w:hint="eastAsia" w:ascii="仿宋" w:hAnsi="仿宋" w:eastAsia="仿宋"/>
          <w:b/>
          <w:color w:val="000000"/>
          <w:sz w:val="32"/>
          <w:szCs w:val="32"/>
        </w:rPr>
        <w:t>第十条</w:t>
      </w:r>
      <w:r>
        <w:rPr>
          <w:rFonts w:hint="eastAsia" w:ascii="仿宋" w:hAnsi="仿宋" w:eastAsia="仿宋"/>
          <w:color w:val="000000"/>
          <w:sz w:val="32"/>
          <w:szCs w:val="32"/>
        </w:rPr>
        <w:t xml:space="preserve">  评审确定为市级教育科学规划课题，应符合下列基本要求：</w:t>
      </w:r>
    </w:p>
    <w:p>
      <w:pPr>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（一）坚持社会主义核心价值观，能运用正确的政治思想观点和科学的教育理论指导课题研究全过程；</w:t>
      </w:r>
    </w:p>
    <w:p>
      <w:pPr>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（二）具有较高的学术价值，对我市教育改革与发展具有重要的实践意义；</w:t>
      </w:r>
    </w:p>
    <w:p>
      <w:pPr>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（三）课题研究思路清晰，具有一定的研究基础，核心概念界定清晰，研究目标明确，研究内容具体，研究方法恰当；</w:t>
      </w:r>
    </w:p>
    <w:p>
      <w:pPr>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（四）预期成果须有研究报告、论文或专著等研究性成果，预期能够取得较好的社会效益，研究成果具有出版、应用和推广的价值。</w:t>
      </w:r>
    </w:p>
    <w:p>
      <w:pPr>
        <w:ind w:firstLine="643" w:firstLineChars="200"/>
        <w:rPr>
          <w:rFonts w:hint="eastAsia" w:ascii="仿宋" w:hAnsi="仿宋" w:eastAsia="仿宋"/>
          <w:color w:val="000000"/>
          <w:sz w:val="32"/>
          <w:szCs w:val="32"/>
        </w:rPr>
      </w:pPr>
      <w:r>
        <w:rPr>
          <w:rFonts w:hint="eastAsia" w:ascii="仿宋" w:hAnsi="仿宋" w:eastAsia="仿宋"/>
          <w:b/>
          <w:color w:val="000000"/>
          <w:sz w:val="32"/>
          <w:szCs w:val="32"/>
        </w:rPr>
        <w:t>第十一条</w:t>
      </w:r>
      <w:r>
        <w:rPr>
          <w:rFonts w:hint="eastAsia" w:ascii="仿宋" w:hAnsi="仿宋" w:eastAsia="仿宋"/>
          <w:color w:val="000000"/>
          <w:sz w:val="32"/>
          <w:szCs w:val="32"/>
        </w:rPr>
        <w:t xml:space="preserve">  规划办对申报的课题进行资格审查，组织专家评审后报送领导小组审批立项。</w:t>
      </w:r>
    </w:p>
    <w:p>
      <w:pPr>
        <w:ind w:firstLine="643" w:firstLineChars="200"/>
        <w:rPr>
          <w:rFonts w:hint="eastAsia" w:ascii="仿宋" w:hAnsi="仿宋" w:eastAsia="仿宋"/>
          <w:color w:val="000000"/>
          <w:sz w:val="32"/>
          <w:szCs w:val="32"/>
        </w:rPr>
      </w:pPr>
      <w:r>
        <w:rPr>
          <w:rFonts w:hint="eastAsia" w:ascii="仿宋" w:hAnsi="仿宋" w:eastAsia="仿宋"/>
          <w:b/>
          <w:color w:val="000000"/>
          <w:sz w:val="32"/>
          <w:szCs w:val="32"/>
        </w:rPr>
        <w:t>第十二条</w:t>
      </w:r>
      <w:r>
        <w:rPr>
          <w:rFonts w:hint="eastAsia" w:ascii="仿宋" w:hAnsi="仿宋" w:eastAsia="仿宋"/>
          <w:color w:val="000000"/>
          <w:sz w:val="32"/>
          <w:szCs w:val="32"/>
        </w:rPr>
        <w:t xml:space="preserve">  参加评审工作的专家、领导和工作人员须严格遵守评审纪律。</w:t>
      </w:r>
    </w:p>
    <w:p>
      <w:pPr>
        <w:jc w:val="center"/>
        <w:rPr>
          <w:rFonts w:hint="eastAsia" w:ascii="仿宋" w:hAnsi="仿宋" w:eastAsia="仿宋"/>
          <w:b/>
          <w:color w:val="000000"/>
          <w:sz w:val="32"/>
          <w:szCs w:val="32"/>
        </w:rPr>
      </w:pPr>
      <w:r>
        <w:rPr>
          <w:rFonts w:hint="eastAsia" w:ascii="仿宋" w:hAnsi="仿宋" w:eastAsia="仿宋"/>
          <w:b/>
          <w:color w:val="000000"/>
          <w:sz w:val="32"/>
          <w:szCs w:val="32"/>
        </w:rPr>
        <w:t>第六章  经费</w:t>
      </w:r>
    </w:p>
    <w:p>
      <w:pPr>
        <w:ind w:firstLine="643" w:firstLineChars="200"/>
        <w:rPr>
          <w:rFonts w:hint="eastAsia" w:ascii="仿宋" w:hAnsi="仿宋" w:eastAsia="仿宋"/>
          <w:color w:val="000000"/>
          <w:sz w:val="32"/>
          <w:szCs w:val="32"/>
        </w:rPr>
      </w:pPr>
      <w:r>
        <w:rPr>
          <w:rFonts w:hint="eastAsia" w:ascii="仿宋" w:hAnsi="仿宋" w:eastAsia="仿宋"/>
          <w:b/>
          <w:color w:val="000000"/>
          <w:sz w:val="32"/>
          <w:szCs w:val="32"/>
        </w:rPr>
        <w:t>第十三条</w:t>
      </w:r>
      <w:r>
        <w:rPr>
          <w:rFonts w:hint="eastAsia" w:ascii="仿宋" w:hAnsi="仿宋" w:eastAsia="仿宋"/>
          <w:color w:val="000000"/>
          <w:sz w:val="32"/>
          <w:szCs w:val="32"/>
        </w:rPr>
        <w:t xml:space="preserve">  规划办负责向市财政申请课题资助经费，市财政批复后，根据分配原则下拨资助经费。课题承担单位应设立配套经费，确保课题研究的顺利进行。</w:t>
      </w:r>
    </w:p>
    <w:p>
      <w:pPr>
        <w:ind w:firstLine="643" w:firstLineChars="200"/>
        <w:rPr>
          <w:rFonts w:hint="eastAsia" w:ascii="仿宋" w:hAnsi="仿宋" w:eastAsia="仿宋"/>
          <w:color w:val="000000"/>
          <w:sz w:val="32"/>
          <w:szCs w:val="32"/>
        </w:rPr>
      </w:pPr>
      <w:r>
        <w:rPr>
          <w:rFonts w:hint="eastAsia" w:ascii="仿宋" w:hAnsi="仿宋" w:eastAsia="仿宋"/>
          <w:b/>
          <w:color w:val="000000"/>
          <w:sz w:val="32"/>
          <w:szCs w:val="32"/>
        </w:rPr>
        <w:t>第十四条</w:t>
      </w:r>
      <w:r>
        <w:rPr>
          <w:rFonts w:hint="eastAsia" w:ascii="仿宋" w:hAnsi="仿宋" w:eastAsia="仿宋"/>
          <w:color w:val="000000"/>
          <w:sz w:val="32"/>
          <w:szCs w:val="32"/>
        </w:rPr>
        <w:t xml:space="preserve">  课题资助经费采取一次核定、分期拨款、单独建账、专款专用、超支不补的方法。</w:t>
      </w:r>
    </w:p>
    <w:p>
      <w:pPr>
        <w:ind w:firstLine="643" w:firstLineChars="200"/>
        <w:rPr>
          <w:rFonts w:hint="eastAsia" w:ascii="仿宋" w:hAnsi="仿宋" w:eastAsia="仿宋"/>
          <w:color w:val="000000"/>
          <w:kern w:val="0"/>
          <w:sz w:val="32"/>
          <w:szCs w:val="32"/>
        </w:rPr>
      </w:pPr>
      <w:r>
        <w:rPr>
          <w:rFonts w:hint="eastAsia" w:ascii="仿宋" w:hAnsi="仿宋" w:eastAsia="仿宋"/>
          <w:b/>
          <w:color w:val="000000"/>
          <w:sz w:val="32"/>
          <w:szCs w:val="32"/>
        </w:rPr>
        <w:t>第十五条</w:t>
      </w:r>
      <w:r>
        <w:rPr>
          <w:rFonts w:hint="eastAsia" w:ascii="仿宋" w:hAnsi="仿宋" w:eastAsia="仿宋"/>
          <w:color w:val="000000"/>
          <w:sz w:val="32"/>
          <w:szCs w:val="32"/>
        </w:rPr>
        <w:t xml:space="preserve">  课题资助经费</w:t>
      </w:r>
      <w:r>
        <w:rPr>
          <w:rFonts w:hint="eastAsia" w:ascii="仿宋" w:hAnsi="仿宋" w:eastAsia="仿宋"/>
          <w:color w:val="000000"/>
          <w:kern w:val="0"/>
          <w:sz w:val="32"/>
          <w:szCs w:val="32"/>
        </w:rPr>
        <w:t>开支应严格按照《厦门市社会科学界联合会 厦门市财政局关于印发厦门市社科类课题经费管理规定的通知（厦社科联联[2017]4号）》等相关财务制度严格执行。</w:t>
      </w:r>
    </w:p>
    <w:p>
      <w:pPr>
        <w:ind w:firstLine="643" w:firstLineChars="200"/>
        <w:rPr>
          <w:rFonts w:hint="eastAsia" w:ascii="仿宋" w:hAnsi="仿宋" w:eastAsia="仿宋"/>
          <w:color w:val="000000"/>
          <w:sz w:val="32"/>
          <w:szCs w:val="32"/>
        </w:rPr>
      </w:pPr>
      <w:r>
        <w:rPr>
          <w:rFonts w:hint="eastAsia" w:ascii="仿宋" w:hAnsi="仿宋" w:eastAsia="仿宋"/>
          <w:b/>
          <w:color w:val="000000"/>
          <w:sz w:val="32"/>
          <w:szCs w:val="32"/>
        </w:rPr>
        <w:t>第十六条</w:t>
      </w:r>
      <w:r>
        <w:rPr>
          <w:rFonts w:hint="eastAsia" w:ascii="仿宋" w:hAnsi="仿宋" w:eastAsia="仿宋"/>
          <w:color w:val="000000"/>
          <w:sz w:val="32"/>
          <w:szCs w:val="32"/>
        </w:rPr>
        <w:t xml:space="preserve">  资助经费拨至课题主持人所在单位，由课题主持人安排使用，其所在单位财务部门监督管理，不得挪作他用。</w:t>
      </w:r>
    </w:p>
    <w:p>
      <w:pPr>
        <w:ind w:firstLine="643" w:firstLineChars="200"/>
        <w:rPr>
          <w:rFonts w:hint="eastAsia" w:ascii="仿宋" w:hAnsi="仿宋" w:eastAsia="仿宋"/>
          <w:color w:val="000000"/>
          <w:sz w:val="32"/>
          <w:szCs w:val="32"/>
        </w:rPr>
      </w:pPr>
      <w:r>
        <w:rPr>
          <w:rFonts w:hint="eastAsia" w:ascii="仿宋" w:hAnsi="仿宋" w:eastAsia="仿宋"/>
          <w:b/>
          <w:color w:val="000000"/>
          <w:sz w:val="32"/>
          <w:szCs w:val="32"/>
        </w:rPr>
        <w:t xml:space="preserve">第十七条  </w:t>
      </w:r>
      <w:r>
        <w:rPr>
          <w:rFonts w:hint="eastAsia" w:ascii="仿宋" w:hAnsi="仿宋" w:eastAsia="仿宋"/>
          <w:color w:val="000000"/>
          <w:sz w:val="32"/>
          <w:szCs w:val="32"/>
        </w:rPr>
        <w:t>对无故不完成任务或自行中止研究工作的课题，规划办将视情况追回部分或全部资助经费，触犯法律的，追究当事人的法律责任。</w:t>
      </w:r>
    </w:p>
    <w:p>
      <w:pPr>
        <w:jc w:val="center"/>
        <w:rPr>
          <w:rFonts w:hint="eastAsia" w:ascii="仿宋" w:hAnsi="仿宋" w:eastAsia="仿宋"/>
          <w:b/>
          <w:color w:val="000000"/>
          <w:sz w:val="32"/>
          <w:szCs w:val="32"/>
        </w:rPr>
      </w:pPr>
      <w:r>
        <w:rPr>
          <w:rFonts w:hint="eastAsia" w:ascii="仿宋" w:hAnsi="仿宋" w:eastAsia="仿宋"/>
          <w:b/>
          <w:color w:val="000000"/>
          <w:sz w:val="32"/>
          <w:szCs w:val="32"/>
        </w:rPr>
        <w:t>第七章  管理</w:t>
      </w:r>
    </w:p>
    <w:p>
      <w:pPr>
        <w:ind w:firstLine="643" w:firstLineChars="200"/>
        <w:rPr>
          <w:rFonts w:hint="eastAsia" w:ascii="仿宋" w:hAnsi="仿宋" w:eastAsia="仿宋"/>
          <w:color w:val="000000"/>
          <w:sz w:val="32"/>
          <w:szCs w:val="32"/>
        </w:rPr>
      </w:pPr>
      <w:r>
        <w:rPr>
          <w:rFonts w:hint="eastAsia" w:ascii="仿宋" w:hAnsi="仿宋" w:eastAsia="仿宋"/>
          <w:b/>
          <w:color w:val="000000"/>
          <w:sz w:val="32"/>
          <w:szCs w:val="32"/>
        </w:rPr>
        <w:t>第十八条</w:t>
      </w:r>
      <w:r>
        <w:rPr>
          <w:rFonts w:hint="eastAsia" w:ascii="仿宋" w:hAnsi="仿宋" w:eastAsia="仿宋"/>
          <w:color w:val="000000"/>
          <w:sz w:val="32"/>
          <w:szCs w:val="32"/>
        </w:rPr>
        <w:t xml:space="preserve">  课题审批立项后，主持人应在立项文件公布之后三个月内组织开题，并将开题报告和专家评议意见报送规划办。</w:t>
      </w:r>
    </w:p>
    <w:p>
      <w:pPr>
        <w:ind w:firstLine="643" w:firstLineChars="200"/>
        <w:rPr>
          <w:rFonts w:hint="eastAsia" w:ascii="仿宋" w:hAnsi="仿宋" w:eastAsia="仿宋"/>
          <w:color w:val="000000"/>
          <w:sz w:val="32"/>
          <w:szCs w:val="32"/>
        </w:rPr>
      </w:pPr>
      <w:r>
        <w:rPr>
          <w:rFonts w:hint="eastAsia" w:ascii="仿宋" w:hAnsi="仿宋" w:eastAsia="仿宋"/>
          <w:b/>
          <w:color w:val="000000"/>
          <w:sz w:val="32"/>
          <w:szCs w:val="32"/>
        </w:rPr>
        <w:t>第十九条</w:t>
      </w:r>
      <w:r>
        <w:rPr>
          <w:rFonts w:hint="eastAsia" w:ascii="仿宋" w:hAnsi="仿宋" w:eastAsia="仿宋"/>
          <w:color w:val="000000"/>
          <w:sz w:val="32"/>
          <w:szCs w:val="32"/>
        </w:rPr>
        <w:t xml:space="preserve">  研究过程中，课题名称、主持人、研究内容、预期成果等一般不允许变更。如有特殊情况，应在中期检查前向规划办申请变更，批准后方可实施。</w:t>
      </w:r>
    </w:p>
    <w:p>
      <w:pPr>
        <w:ind w:firstLine="643" w:firstLineChars="200"/>
        <w:rPr>
          <w:rFonts w:hint="eastAsia" w:ascii="仿宋" w:hAnsi="仿宋" w:eastAsia="仿宋"/>
          <w:b/>
          <w:color w:val="000000"/>
          <w:sz w:val="32"/>
          <w:szCs w:val="32"/>
        </w:rPr>
      </w:pPr>
      <w:r>
        <w:rPr>
          <w:rFonts w:hint="eastAsia" w:ascii="仿宋" w:hAnsi="仿宋" w:eastAsia="仿宋"/>
          <w:b/>
          <w:color w:val="000000"/>
          <w:sz w:val="32"/>
          <w:szCs w:val="32"/>
        </w:rPr>
        <w:t>第二十条</w:t>
      </w:r>
      <w:r>
        <w:rPr>
          <w:rFonts w:hint="eastAsia" w:ascii="仿宋" w:hAnsi="仿宋" w:eastAsia="仿宋"/>
          <w:color w:val="000000"/>
          <w:sz w:val="32"/>
          <w:szCs w:val="32"/>
        </w:rPr>
        <w:t xml:space="preserve">  规划办将适时对课题进行中期检查，各课题组需按要求报送中期检查报告。</w:t>
      </w:r>
    </w:p>
    <w:p>
      <w:pPr>
        <w:ind w:firstLine="643" w:firstLineChars="200"/>
        <w:rPr>
          <w:rFonts w:hint="eastAsia" w:ascii="仿宋" w:hAnsi="仿宋" w:eastAsia="仿宋"/>
          <w:color w:val="000000"/>
          <w:sz w:val="32"/>
          <w:szCs w:val="32"/>
        </w:rPr>
      </w:pPr>
      <w:r>
        <w:rPr>
          <w:rFonts w:hint="eastAsia" w:ascii="仿宋" w:hAnsi="仿宋" w:eastAsia="仿宋"/>
          <w:b/>
          <w:color w:val="000000"/>
          <w:sz w:val="32"/>
          <w:szCs w:val="32"/>
        </w:rPr>
        <w:t>第二十一条</w:t>
      </w:r>
      <w:r>
        <w:rPr>
          <w:rFonts w:hint="eastAsia" w:ascii="仿宋" w:hAnsi="仿宋" w:eastAsia="仿宋"/>
          <w:color w:val="000000"/>
          <w:sz w:val="32"/>
          <w:szCs w:val="32"/>
        </w:rPr>
        <w:t xml:space="preserve">  课题主持人应主持课题研究全过程，负责协调课题组成员关系，合理配置人员、经费、信息等资源，努力完成研究计划，取得预期成果。</w:t>
      </w:r>
    </w:p>
    <w:p>
      <w:pPr>
        <w:ind w:firstLine="643" w:firstLineChars="200"/>
        <w:rPr>
          <w:rFonts w:hint="eastAsia" w:ascii="仿宋" w:hAnsi="仿宋" w:eastAsia="仿宋"/>
          <w:color w:val="000000"/>
          <w:sz w:val="32"/>
          <w:szCs w:val="32"/>
        </w:rPr>
      </w:pPr>
      <w:r>
        <w:rPr>
          <w:rFonts w:hint="eastAsia" w:ascii="仿宋" w:hAnsi="仿宋" w:eastAsia="仿宋"/>
          <w:b/>
          <w:color w:val="000000"/>
          <w:sz w:val="32"/>
          <w:szCs w:val="32"/>
        </w:rPr>
        <w:t>第二十二条</w:t>
      </w:r>
      <w:r>
        <w:rPr>
          <w:rFonts w:hint="eastAsia" w:ascii="仿宋" w:hAnsi="仿宋" w:eastAsia="仿宋"/>
          <w:color w:val="000000"/>
          <w:sz w:val="32"/>
          <w:szCs w:val="32"/>
        </w:rPr>
        <w:t xml:space="preserve">  课题主持人所在单位应切实加强对课题的管理、指导和监督，并在时间、人力、物力等方面给予积极支持。</w:t>
      </w:r>
    </w:p>
    <w:p>
      <w:pPr>
        <w:ind w:firstLine="643" w:firstLineChars="200"/>
        <w:rPr>
          <w:rFonts w:hint="eastAsia" w:ascii="仿宋" w:hAnsi="仿宋" w:eastAsia="仿宋"/>
          <w:color w:val="000000"/>
          <w:sz w:val="32"/>
          <w:szCs w:val="32"/>
        </w:rPr>
      </w:pPr>
      <w:r>
        <w:rPr>
          <w:rFonts w:hint="eastAsia" w:ascii="仿宋" w:hAnsi="仿宋" w:eastAsia="仿宋"/>
          <w:b/>
          <w:color w:val="000000"/>
          <w:sz w:val="32"/>
          <w:szCs w:val="32"/>
        </w:rPr>
        <w:t xml:space="preserve">第二十三条  </w:t>
      </w:r>
      <w:r>
        <w:rPr>
          <w:rFonts w:hint="eastAsia" w:ascii="仿宋" w:hAnsi="仿宋" w:eastAsia="仿宋"/>
          <w:color w:val="000000"/>
          <w:sz w:val="32"/>
          <w:szCs w:val="32"/>
        </w:rPr>
        <w:t>凡有下列情况之一者，由规划办撤销课题。</w:t>
      </w:r>
    </w:p>
    <w:p>
      <w:pPr>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（一）以课题名义进行虚假宣传和营利行为；</w:t>
      </w:r>
    </w:p>
    <w:p>
      <w:pPr>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（二）私刻课题公章；</w:t>
      </w:r>
    </w:p>
    <w:p>
      <w:pPr>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（三）第一次鉴定未能通过，经修改后重新鉴定，仍未能通过；</w:t>
      </w:r>
    </w:p>
    <w:p>
      <w:pPr>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（四）剽窃他人成果；</w:t>
      </w:r>
    </w:p>
    <w:p>
      <w:pPr>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（五）逾期不提交延期申请，或延期到期仍不能完成；</w:t>
      </w:r>
    </w:p>
    <w:p>
      <w:pPr>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（六）违反财务制度。</w:t>
      </w:r>
    </w:p>
    <w:p>
      <w:pPr>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被撤销的课题，应追回课题经费，并取消课题主持人今后5年申报或参与市教育科学规划课题的资格，课题主持人所在单位需承担相应管理责任，视情况给予相应处罚。</w:t>
      </w:r>
    </w:p>
    <w:p>
      <w:pPr>
        <w:jc w:val="center"/>
        <w:rPr>
          <w:rFonts w:hint="eastAsia" w:ascii="仿宋" w:hAnsi="仿宋" w:eastAsia="仿宋"/>
          <w:b/>
          <w:color w:val="000000"/>
          <w:sz w:val="32"/>
          <w:szCs w:val="32"/>
        </w:rPr>
      </w:pPr>
      <w:r>
        <w:rPr>
          <w:rFonts w:hint="eastAsia" w:ascii="仿宋" w:hAnsi="仿宋" w:eastAsia="仿宋"/>
          <w:b/>
          <w:color w:val="000000"/>
          <w:sz w:val="32"/>
          <w:szCs w:val="32"/>
        </w:rPr>
        <w:t>第八章  鉴定</w:t>
      </w:r>
    </w:p>
    <w:p>
      <w:pPr>
        <w:ind w:firstLine="643" w:firstLineChars="200"/>
        <w:rPr>
          <w:rFonts w:hint="eastAsia" w:ascii="仿宋" w:hAnsi="仿宋" w:eastAsia="仿宋"/>
          <w:color w:val="000000"/>
          <w:sz w:val="32"/>
          <w:szCs w:val="32"/>
        </w:rPr>
      </w:pPr>
      <w:r>
        <w:rPr>
          <w:rFonts w:hint="eastAsia" w:ascii="仿宋" w:hAnsi="仿宋" w:eastAsia="仿宋"/>
          <w:b/>
          <w:color w:val="000000"/>
          <w:sz w:val="32"/>
          <w:szCs w:val="32"/>
        </w:rPr>
        <w:t>第二十四条</w:t>
      </w:r>
      <w:r>
        <w:rPr>
          <w:rFonts w:hint="eastAsia" w:ascii="仿宋" w:hAnsi="仿宋" w:eastAsia="仿宋"/>
          <w:color w:val="000000"/>
          <w:sz w:val="32"/>
          <w:szCs w:val="32"/>
        </w:rPr>
        <w:t xml:space="preserve">  凡厦门市教育科学规划课题，均应在研究工作完成后，对成果进行鉴定和验收。</w:t>
      </w:r>
    </w:p>
    <w:p>
      <w:pPr>
        <w:ind w:firstLine="643" w:firstLineChars="200"/>
        <w:rPr>
          <w:rFonts w:hint="eastAsia" w:ascii="仿宋" w:hAnsi="仿宋" w:eastAsia="仿宋"/>
          <w:color w:val="000000"/>
          <w:sz w:val="32"/>
          <w:szCs w:val="32"/>
        </w:rPr>
      </w:pPr>
      <w:r>
        <w:rPr>
          <w:rFonts w:hint="eastAsia" w:ascii="仿宋" w:hAnsi="仿宋" w:eastAsia="仿宋"/>
          <w:b/>
          <w:color w:val="000000"/>
          <w:sz w:val="32"/>
          <w:szCs w:val="32"/>
        </w:rPr>
        <w:t>第二十五条</w:t>
      </w:r>
      <w:r>
        <w:rPr>
          <w:rFonts w:hint="eastAsia" w:ascii="仿宋" w:hAnsi="仿宋" w:eastAsia="仿宋"/>
          <w:color w:val="000000"/>
          <w:sz w:val="32"/>
          <w:szCs w:val="32"/>
        </w:rPr>
        <w:t xml:space="preserve">  课题组完成研究任务后，应自行聘请擅长本研究领域的专家进行结题鉴定。</w:t>
      </w:r>
    </w:p>
    <w:p>
      <w:pPr>
        <w:ind w:firstLine="643" w:firstLineChars="200"/>
        <w:rPr>
          <w:rFonts w:hint="eastAsia" w:ascii="仿宋" w:hAnsi="仿宋" w:eastAsia="仿宋"/>
          <w:color w:val="000000"/>
          <w:sz w:val="32"/>
          <w:szCs w:val="32"/>
        </w:rPr>
      </w:pPr>
      <w:r>
        <w:rPr>
          <w:rFonts w:hint="eastAsia" w:ascii="仿宋" w:hAnsi="仿宋" w:eastAsia="仿宋"/>
          <w:b/>
          <w:color w:val="000000"/>
          <w:sz w:val="32"/>
          <w:szCs w:val="32"/>
        </w:rPr>
        <w:t>第二十六条</w:t>
      </w:r>
      <w:r>
        <w:rPr>
          <w:rFonts w:hint="eastAsia" w:ascii="仿宋" w:hAnsi="仿宋" w:eastAsia="仿宋"/>
          <w:color w:val="000000"/>
          <w:sz w:val="32"/>
          <w:szCs w:val="32"/>
        </w:rPr>
        <w:t xml:space="preserve">  结题鉴定专家应本着科学的精神，按照实事求是、客观、公正的原则，对成果进行全面评议与鉴定，并提出成果能否通过鉴定的明确意见。</w:t>
      </w:r>
    </w:p>
    <w:p>
      <w:pPr>
        <w:ind w:firstLine="643" w:firstLineChars="200"/>
        <w:rPr>
          <w:rFonts w:ascii="仿宋" w:hAnsi="仿宋" w:eastAsia="仿宋"/>
          <w:color w:val="000000"/>
          <w:sz w:val="32"/>
          <w:szCs w:val="32"/>
        </w:rPr>
      </w:pPr>
      <w:r>
        <w:rPr>
          <w:rFonts w:hint="eastAsia" w:ascii="仿宋" w:hAnsi="仿宋" w:eastAsia="仿宋"/>
          <w:b/>
          <w:color w:val="000000"/>
          <w:sz w:val="32"/>
          <w:szCs w:val="32"/>
        </w:rPr>
        <w:t>第二十七条</w:t>
      </w:r>
      <w:r>
        <w:rPr>
          <w:rFonts w:hint="eastAsia" w:ascii="仿宋" w:hAnsi="仿宋" w:eastAsia="仿宋"/>
          <w:color w:val="000000"/>
          <w:sz w:val="32"/>
          <w:szCs w:val="32"/>
        </w:rPr>
        <w:t xml:space="preserve">  课题结题汇编材料包括：课题立项通知书、课题申请书、课题开题报告、课题中期报告、课题研究报告、课题成果公报、课题专家鉴定表、反映研究成果的其他资料目录及具体材料等。</w:t>
      </w:r>
    </w:p>
    <w:p>
      <w:pPr>
        <w:ind w:firstLine="643" w:firstLineChars="200"/>
        <w:rPr>
          <w:rFonts w:ascii="仿宋" w:hAnsi="仿宋" w:eastAsia="仿宋"/>
          <w:b/>
          <w:color w:val="000000"/>
          <w:sz w:val="32"/>
          <w:szCs w:val="32"/>
        </w:rPr>
      </w:pPr>
      <w:r>
        <w:rPr>
          <w:rFonts w:hint="eastAsia" w:ascii="仿宋" w:hAnsi="仿宋" w:eastAsia="仿宋"/>
          <w:b/>
          <w:color w:val="000000"/>
          <w:sz w:val="32"/>
          <w:szCs w:val="32"/>
        </w:rPr>
        <w:t>第二十八条</w:t>
      </w:r>
      <w:r>
        <w:rPr>
          <w:rFonts w:hint="eastAsia" w:ascii="仿宋" w:hAnsi="仿宋" w:eastAsia="仿宋"/>
          <w:color w:val="000000"/>
          <w:sz w:val="32"/>
          <w:szCs w:val="32"/>
        </w:rPr>
        <w:t xml:space="preserve">  课题结题的基本要求：</w:t>
      </w:r>
    </w:p>
    <w:p>
      <w:pPr>
        <w:ind w:firstLine="640" w:firstLineChars="200"/>
        <w:rPr>
          <w:rFonts w:ascii="仿宋" w:hAnsi="仿宋" w:eastAsia="仿宋"/>
          <w:color w:val="000000"/>
          <w:sz w:val="32"/>
          <w:szCs w:val="32"/>
        </w:rPr>
      </w:pPr>
      <w:r>
        <w:rPr>
          <w:rFonts w:hint="eastAsia" w:ascii="仿宋" w:hAnsi="仿宋" w:eastAsia="仿宋"/>
          <w:color w:val="000000"/>
          <w:sz w:val="32"/>
          <w:szCs w:val="32"/>
        </w:rPr>
        <w:t>（一）按照课题研究计划如期完成研究任务，并提供完整的结题材料。</w:t>
      </w:r>
    </w:p>
    <w:p>
      <w:pPr>
        <w:ind w:firstLine="640" w:firstLineChars="200"/>
        <w:rPr>
          <w:rFonts w:hint="eastAsia" w:ascii="仿宋" w:hAnsi="仿宋" w:eastAsia="仿宋" w:cs="宋体"/>
          <w:color w:val="000000"/>
          <w:kern w:val="0"/>
          <w:sz w:val="32"/>
          <w:szCs w:val="32"/>
        </w:rPr>
      </w:pPr>
      <w:r>
        <w:rPr>
          <w:rFonts w:hint="eastAsia" w:ascii="仿宋" w:hAnsi="仿宋" w:eastAsia="仿宋"/>
          <w:color w:val="000000"/>
          <w:sz w:val="32"/>
          <w:szCs w:val="32"/>
        </w:rPr>
        <w:t>（二）</w:t>
      </w:r>
      <w:r>
        <w:rPr>
          <w:rFonts w:hint="eastAsia" w:ascii="仿宋" w:hAnsi="仿宋" w:eastAsia="仿宋" w:cs="宋体"/>
          <w:color w:val="000000"/>
          <w:kern w:val="0"/>
          <w:sz w:val="32"/>
          <w:szCs w:val="32"/>
        </w:rPr>
        <w:t>课题主持人至少有1篇与课题相关的论文发表在《厦门教育》或市级汇编或CN刊物，且须为论文的第一作者或独立作者。</w:t>
      </w:r>
    </w:p>
    <w:p>
      <w:pPr>
        <w:ind w:firstLine="640" w:firstLineChars="200"/>
        <w:rPr>
          <w:rFonts w:ascii="仿宋" w:hAnsi="仿宋" w:eastAsia="仿宋"/>
          <w:color w:val="000000"/>
          <w:sz w:val="32"/>
          <w:szCs w:val="32"/>
        </w:rPr>
      </w:pPr>
      <w:r>
        <w:rPr>
          <w:rFonts w:hint="eastAsia" w:ascii="仿宋" w:hAnsi="仿宋" w:eastAsia="仿宋" w:cs="宋体"/>
          <w:color w:val="000000"/>
          <w:kern w:val="0"/>
          <w:sz w:val="32"/>
          <w:szCs w:val="32"/>
        </w:rPr>
        <w:t>（三）</w:t>
      </w:r>
      <w:r>
        <w:rPr>
          <w:rFonts w:hint="eastAsia" w:ascii="仿宋" w:hAnsi="仿宋" w:eastAsia="仿宋"/>
          <w:color w:val="000000"/>
          <w:sz w:val="32"/>
          <w:szCs w:val="32"/>
        </w:rPr>
        <w:t>课题研究成果代表作发表时须在醒目位置独家标明“厦门市教育科学规划课题《×××》（课题批准号：×××）成果”字样。</w:t>
      </w:r>
    </w:p>
    <w:p>
      <w:pPr>
        <w:ind w:firstLine="640" w:firstLineChars="200"/>
        <w:rPr>
          <w:rFonts w:ascii="仿宋" w:hAnsi="仿宋" w:eastAsia="仿宋"/>
          <w:color w:val="000000"/>
          <w:sz w:val="32"/>
          <w:szCs w:val="32"/>
        </w:rPr>
      </w:pPr>
      <w:r>
        <w:rPr>
          <w:rFonts w:hint="eastAsia" w:ascii="仿宋" w:hAnsi="仿宋" w:eastAsia="仿宋" w:cs="宋体"/>
          <w:color w:val="000000"/>
          <w:kern w:val="0"/>
          <w:sz w:val="32"/>
          <w:szCs w:val="32"/>
        </w:rPr>
        <w:t>（四）每位课题组核心成员</w:t>
      </w:r>
      <w:r>
        <w:rPr>
          <w:rFonts w:hint="eastAsia" w:ascii="仿宋" w:hAnsi="仿宋" w:eastAsia="仿宋"/>
          <w:color w:val="000000"/>
          <w:sz w:val="32"/>
          <w:szCs w:val="32"/>
        </w:rPr>
        <w:t>至少有1篇</w:t>
      </w:r>
      <w:r>
        <w:rPr>
          <w:rFonts w:hint="eastAsia" w:ascii="仿宋" w:hAnsi="仿宋" w:eastAsia="仿宋" w:cs="宋体"/>
          <w:color w:val="000000"/>
          <w:kern w:val="0"/>
          <w:sz w:val="32"/>
          <w:szCs w:val="32"/>
        </w:rPr>
        <w:t>与课题相关的</w:t>
      </w:r>
      <w:r>
        <w:rPr>
          <w:rFonts w:hint="eastAsia" w:ascii="仿宋" w:hAnsi="仿宋" w:eastAsia="仿宋"/>
          <w:color w:val="000000"/>
          <w:sz w:val="32"/>
          <w:szCs w:val="32"/>
        </w:rPr>
        <w:t>论文在市级及以上汇编或刊物发表。</w:t>
      </w:r>
    </w:p>
    <w:p>
      <w:pPr>
        <w:pStyle w:val="6"/>
        <w:widowControl w:val="0"/>
        <w:spacing w:before="0" w:beforeAutospacing="0" w:after="0" w:afterAutospacing="0"/>
        <w:ind w:firstLine="640" w:firstLineChars="200"/>
        <w:jc w:val="both"/>
        <w:rPr>
          <w:rFonts w:hint="eastAsia" w:ascii="仿宋" w:hAnsi="仿宋" w:eastAsia="仿宋"/>
          <w:sz w:val="32"/>
          <w:szCs w:val="32"/>
        </w:rPr>
      </w:pPr>
      <w:r>
        <w:rPr>
          <w:rFonts w:hint="eastAsia" w:ascii="仿宋" w:hAnsi="仿宋" w:eastAsia="仿宋"/>
          <w:sz w:val="32"/>
          <w:szCs w:val="32"/>
        </w:rPr>
        <w:t>（五）凡要列入结题证书的其他课题组成员，每人须有1篇与课题研究相关的成果（发表与否均可）。</w:t>
      </w:r>
    </w:p>
    <w:p>
      <w:pPr>
        <w:pStyle w:val="6"/>
        <w:widowControl w:val="0"/>
        <w:spacing w:before="0" w:beforeAutospacing="0" w:after="0" w:afterAutospacing="0"/>
        <w:ind w:firstLine="643" w:firstLineChars="200"/>
        <w:jc w:val="both"/>
        <w:rPr>
          <w:rFonts w:hint="eastAsia" w:ascii="仿宋" w:hAnsi="仿宋" w:eastAsia="仿宋"/>
          <w:sz w:val="32"/>
          <w:szCs w:val="32"/>
        </w:rPr>
      </w:pPr>
      <w:r>
        <w:rPr>
          <w:rFonts w:hint="eastAsia" w:ascii="仿宋" w:hAnsi="仿宋" w:eastAsia="仿宋"/>
          <w:b/>
          <w:sz w:val="32"/>
          <w:szCs w:val="32"/>
        </w:rPr>
        <w:t>第二十九条</w:t>
      </w:r>
      <w:r>
        <w:rPr>
          <w:rFonts w:hint="eastAsia" w:ascii="仿宋" w:hAnsi="仿宋" w:eastAsia="仿宋"/>
          <w:sz w:val="32"/>
          <w:szCs w:val="32"/>
        </w:rPr>
        <w:t xml:space="preserve">  规划办每年组织专家集中对课题结题材料进行审核；对被评为“优秀”“良好”“合格”的课题，颁发《厦门市教育科学规划课题结题证书》；对被评为“不合格”的课题，予以退回，要求重新研究、重新鉴定。</w:t>
      </w:r>
    </w:p>
    <w:p>
      <w:pPr>
        <w:jc w:val="center"/>
        <w:rPr>
          <w:rFonts w:hint="eastAsia" w:ascii="仿宋" w:hAnsi="仿宋" w:eastAsia="仿宋"/>
          <w:b/>
          <w:color w:val="000000"/>
          <w:sz w:val="32"/>
          <w:szCs w:val="32"/>
        </w:rPr>
      </w:pPr>
      <w:r>
        <w:rPr>
          <w:rFonts w:hint="eastAsia" w:ascii="仿宋" w:hAnsi="仿宋" w:eastAsia="仿宋"/>
          <w:b/>
          <w:color w:val="000000"/>
          <w:sz w:val="32"/>
          <w:szCs w:val="32"/>
        </w:rPr>
        <w:t>第九章  奖励</w:t>
      </w:r>
    </w:p>
    <w:p>
      <w:pPr>
        <w:ind w:firstLine="643" w:firstLineChars="200"/>
        <w:rPr>
          <w:rFonts w:hint="eastAsia" w:ascii="仿宋" w:hAnsi="仿宋" w:eastAsia="仿宋"/>
          <w:color w:val="000000"/>
          <w:sz w:val="32"/>
          <w:szCs w:val="32"/>
        </w:rPr>
      </w:pPr>
      <w:r>
        <w:rPr>
          <w:rFonts w:hint="eastAsia" w:ascii="仿宋" w:hAnsi="仿宋" w:eastAsia="仿宋"/>
          <w:b/>
          <w:color w:val="000000"/>
          <w:sz w:val="32"/>
          <w:szCs w:val="32"/>
        </w:rPr>
        <w:t>第三十条</w:t>
      </w:r>
      <w:r>
        <w:rPr>
          <w:rFonts w:hint="eastAsia" w:ascii="仿宋" w:hAnsi="仿宋" w:eastAsia="仿宋"/>
          <w:color w:val="000000"/>
          <w:sz w:val="32"/>
          <w:szCs w:val="32"/>
        </w:rPr>
        <w:t xml:space="preserve">  通过鉴定并对推动我市教育改革与发展、提高教育教学质量具有促进作用的科研成果，教育行政部门和课题承担单位应积极采取各种措施加以宣传和推广。</w:t>
      </w:r>
    </w:p>
    <w:p>
      <w:pPr>
        <w:ind w:firstLine="643" w:firstLineChars="200"/>
        <w:rPr>
          <w:rFonts w:hint="eastAsia" w:ascii="仿宋" w:hAnsi="仿宋" w:eastAsia="仿宋"/>
          <w:color w:val="000000"/>
          <w:sz w:val="32"/>
          <w:szCs w:val="32"/>
        </w:rPr>
      </w:pPr>
      <w:r>
        <w:rPr>
          <w:rFonts w:hint="eastAsia" w:ascii="仿宋" w:hAnsi="仿宋" w:eastAsia="仿宋"/>
          <w:b/>
          <w:color w:val="000000"/>
          <w:sz w:val="32"/>
          <w:szCs w:val="32"/>
        </w:rPr>
        <w:t>第三十一条</w:t>
      </w:r>
      <w:r>
        <w:rPr>
          <w:rFonts w:hint="eastAsia" w:ascii="仿宋" w:hAnsi="仿宋" w:eastAsia="仿宋"/>
          <w:color w:val="000000"/>
          <w:sz w:val="32"/>
          <w:szCs w:val="32"/>
        </w:rPr>
        <w:t xml:space="preserve">  领导小组设立教育科研专著资助出版专项经费，支持优秀教育科研成果出版。</w:t>
      </w:r>
    </w:p>
    <w:p>
      <w:pPr>
        <w:ind w:firstLine="643" w:firstLineChars="200"/>
        <w:rPr>
          <w:rFonts w:hint="eastAsia" w:ascii="仿宋" w:hAnsi="仿宋" w:eastAsia="仿宋"/>
          <w:color w:val="000000"/>
          <w:sz w:val="32"/>
          <w:szCs w:val="32"/>
        </w:rPr>
      </w:pPr>
      <w:r>
        <w:rPr>
          <w:rFonts w:hint="eastAsia" w:ascii="仿宋" w:hAnsi="仿宋" w:eastAsia="仿宋"/>
          <w:b/>
          <w:color w:val="000000"/>
          <w:sz w:val="32"/>
          <w:szCs w:val="32"/>
        </w:rPr>
        <w:t>第三十二条</w:t>
      </w:r>
      <w:r>
        <w:rPr>
          <w:rFonts w:hint="eastAsia" w:ascii="仿宋" w:hAnsi="仿宋" w:eastAsia="仿宋"/>
          <w:color w:val="000000"/>
          <w:sz w:val="32"/>
          <w:szCs w:val="32"/>
        </w:rPr>
        <w:t xml:space="preserve">  领导小组定期开展厦门市教育科学优秀成果评选奖励活动。</w:t>
      </w:r>
    </w:p>
    <w:p>
      <w:pPr>
        <w:jc w:val="center"/>
        <w:rPr>
          <w:rFonts w:hint="eastAsia" w:ascii="仿宋" w:hAnsi="仿宋" w:eastAsia="仿宋"/>
          <w:b/>
          <w:color w:val="000000"/>
          <w:sz w:val="32"/>
          <w:szCs w:val="32"/>
        </w:rPr>
      </w:pPr>
      <w:r>
        <w:rPr>
          <w:rFonts w:hint="eastAsia" w:ascii="仿宋" w:hAnsi="仿宋" w:eastAsia="仿宋"/>
          <w:b/>
          <w:color w:val="000000"/>
          <w:sz w:val="32"/>
          <w:szCs w:val="32"/>
        </w:rPr>
        <w:t>第十章  附则</w:t>
      </w:r>
    </w:p>
    <w:p>
      <w:pPr>
        <w:ind w:firstLine="643" w:firstLineChars="200"/>
        <w:rPr>
          <w:rFonts w:hint="eastAsia" w:ascii="仿宋" w:hAnsi="仿宋" w:eastAsia="仿宋"/>
          <w:color w:val="000000"/>
          <w:sz w:val="32"/>
          <w:szCs w:val="32"/>
        </w:rPr>
      </w:pPr>
      <w:r>
        <w:rPr>
          <w:rFonts w:hint="eastAsia" w:ascii="仿宋" w:hAnsi="仿宋" w:eastAsia="仿宋"/>
          <w:b/>
          <w:color w:val="000000"/>
          <w:sz w:val="32"/>
          <w:szCs w:val="32"/>
        </w:rPr>
        <w:t>第三十三条</w:t>
      </w:r>
      <w:r>
        <w:rPr>
          <w:rFonts w:hint="eastAsia" w:ascii="仿宋" w:hAnsi="仿宋" w:eastAsia="仿宋"/>
          <w:color w:val="000000"/>
          <w:sz w:val="32"/>
          <w:szCs w:val="32"/>
        </w:rPr>
        <w:t xml:space="preserve">  本管理办法自公布之日起实行，执行对象为厦门市教育科学“十四五”规划2021年度及之后立项的课题。在此之前立项的课题按照原来的管理办法执行。未尽事宜将另行制定具体实施办法和细则。</w:t>
      </w:r>
    </w:p>
    <w:p>
      <w:pPr>
        <w:ind w:firstLine="643" w:firstLineChars="200"/>
        <w:rPr>
          <w:rFonts w:hint="eastAsia" w:ascii="仿宋" w:hAnsi="仿宋" w:eastAsia="仿宋"/>
          <w:color w:val="000000"/>
          <w:sz w:val="32"/>
          <w:szCs w:val="32"/>
        </w:rPr>
      </w:pPr>
      <w:r>
        <w:rPr>
          <w:rFonts w:hint="eastAsia" w:ascii="仿宋" w:hAnsi="仿宋" w:eastAsia="仿宋"/>
          <w:b/>
          <w:color w:val="000000"/>
          <w:sz w:val="32"/>
          <w:szCs w:val="32"/>
        </w:rPr>
        <w:t>第三十四条</w:t>
      </w:r>
      <w:r>
        <w:rPr>
          <w:rFonts w:hint="eastAsia" w:ascii="仿宋" w:hAnsi="仿宋" w:eastAsia="仿宋"/>
          <w:color w:val="000000"/>
          <w:sz w:val="32"/>
          <w:szCs w:val="32"/>
        </w:rPr>
        <w:t xml:space="preserve">  本管理办法的解释权和修改权属</w:t>
      </w:r>
      <w:r>
        <w:rPr>
          <w:rFonts w:hint="eastAsia" w:ascii="仿宋_GB2312" w:hAnsi="宋体" w:eastAsia="仿宋_GB2312" w:cs="宋体"/>
          <w:color w:val="000000"/>
          <w:kern w:val="0"/>
          <w:sz w:val="32"/>
          <w:szCs w:val="32"/>
        </w:rPr>
        <w:t>厦门市教育科学研究规划领导小组办公室</w:t>
      </w:r>
      <w:r>
        <w:rPr>
          <w:rFonts w:hint="eastAsia" w:ascii="仿宋" w:hAnsi="仿宋" w:eastAsia="仿宋"/>
          <w:color w:val="000000"/>
          <w:sz w:val="32"/>
          <w:szCs w:val="32"/>
        </w:rPr>
        <w:t>。</w:t>
      </w:r>
    </w:p>
    <w:sectPr>
      <w:headerReference r:id="rId3" w:type="default"/>
      <w:footerReference r:id="rId4" w:type="default"/>
      <w:footerReference r:id="rId5"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7</w:t>
    </w:r>
    <w:r>
      <w:rPr>
        <w:sz w:val="21"/>
        <w:szCs w:val="21"/>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B3F"/>
    <w:rsid w:val="00004142"/>
    <w:rsid w:val="000134C2"/>
    <w:rsid w:val="00014E32"/>
    <w:rsid w:val="00037CD6"/>
    <w:rsid w:val="00040C6A"/>
    <w:rsid w:val="0004202D"/>
    <w:rsid w:val="00042C8F"/>
    <w:rsid w:val="00053785"/>
    <w:rsid w:val="00057E39"/>
    <w:rsid w:val="0006372A"/>
    <w:rsid w:val="00065002"/>
    <w:rsid w:val="00067599"/>
    <w:rsid w:val="00085FDE"/>
    <w:rsid w:val="000A22E1"/>
    <w:rsid w:val="000B4204"/>
    <w:rsid w:val="000B5EE4"/>
    <w:rsid w:val="000D0642"/>
    <w:rsid w:val="00100007"/>
    <w:rsid w:val="00101AEB"/>
    <w:rsid w:val="00103848"/>
    <w:rsid w:val="001117FA"/>
    <w:rsid w:val="001135AA"/>
    <w:rsid w:val="00117AEB"/>
    <w:rsid w:val="00126806"/>
    <w:rsid w:val="00160406"/>
    <w:rsid w:val="00166368"/>
    <w:rsid w:val="0017148A"/>
    <w:rsid w:val="00182199"/>
    <w:rsid w:val="00194E58"/>
    <w:rsid w:val="001A65FE"/>
    <w:rsid w:val="001C0384"/>
    <w:rsid w:val="001C3EA8"/>
    <w:rsid w:val="001D6EF4"/>
    <w:rsid w:val="001D7666"/>
    <w:rsid w:val="001E292E"/>
    <w:rsid w:val="001E7A24"/>
    <w:rsid w:val="002156FD"/>
    <w:rsid w:val="00232570"/>
    <w:rsid w:val="002339DE"/>
    <w:rsid w:val="002422D9"/>
    <w:rsid w:val="00256223"/>
    <w:rsid w:val="002616F0"/>
    <w:rsid w:val="0026240A"/>
    <w:rsid w:val="00284078"/>
    <w:rsid w:val="002A1D01"/>
    <w:rsid w:val="002A23B3"/>
    <w:rsid w:val="002C44D7"/>
    <w:rsid w:val="002C5D30"/>
    <w:rsid w:val="002D1114"/>
    <w:rsid w:val="003026FB"/>
    <w:rsid w:val="00306B7A"/>
    <w:rsid w:val="003178DC"/>
    <w:rsid w:val="003220C2"/>
    <w:rsid w:val="003321C0"/>
    <w:rsid w:val="003538AB"/>
    <w:rsid w:val="00354421"/>
    <w:rsid w:val="00372003"/>
    <w:rsid w:val="003A41E4"/>
    <w:rsid w:val="003A5313"/>
    <w:rsid w:val="003B6653"/>
    <w:rsid w:val="003B6FC2"/>
    <w:rsid w:val="003C20F7"/>
    <w:rsid w:val="003D0F15"/>
    <w:rsid w:val="003D2071"/>
    <w:rsid w:val="003E05BD"/>
    <w:rsid w:val="003E1F11"/>
    <w:rsid w:val="003E6BAF"/>
    <w:rsid w:val="00416A66"/>
    <w:rsid w:val="00431F05"/>
    <w:rsid w:val="0043300E"/>
    <w:rsid w:val="0044167A"/>
    <w:rsid w:val="00460B02"/>
    <w:rsid w:val="00463F08"/>
    <w:rsid w:val="00464B46"/>
    <w:rsid w:val="004652F4"/>
    <w:rsid w:val="004A1574"/>
    <w:rsid w:val="004B49A3"/>
    <w:rsid w:val="004B7B3E"/>
    <w:rsid w:val="004D3B15"/>
    <w:rsid w:val="004E7C15"/>
    <w:rsid w:val="00522905"/>
    <w:rsid w:val="005365B1"/>
    <w:rsid w:val="00542083"/>
    <w:rsid w:val="00564EBF"/>
    <w:rsid w:val="005749E4"/>
    <w:rsid w:val="00581858"/>
    <w:rsid w:val="00587208"/>
    <w:rsid w:val="00592FDC"/>
    <w:rsid w:val="005A4681"/>
    <w:rsid w:val="005A4B6F"/>
    <w:rsid w:val="005C2A17"/>
    <w:rsid w:val="005E57C3"/>
    <w:rsid w:val="005E5A3D"/>
    <w:rsid w:val="005F3879"/>
    <w:rsid w:val="00601592"/>
    <w:rsid w:val="0060533E"/>
    <w:rsid w:val="00617D4E"/>
    <w:rsid w:val="00621E06"/>
    <w:rsid w:val="00644436"/>
    <w:rsid w:val="00653547"/>
    <w:rsid w:val="0065360B"/>
    <w:rsid w:val="00656313"/>
    <w:rsid w:val="00673B3F"/>
    <w:rsid w:val="006746EF"/>
    <w:rsid w:val="00676B1A"/>
    <w:rsid w:val="00682B63"/>
    <w:rsid w:val="006842EC"/>
    <w:rsid w:val="006878B2"/>
    <w:rsid w:val="00690678"/>
    <w:rsid w:val="00692846"/>
    <w:rsid w:val="00692E96"/>
    <w:rsid w:val="00694A0A"/>
    <w:rsid w:val="00696EA4"/>
    <w:rsid w:val="006A602C"/>
    <w:rsid w:val="006A6EA1"/>
    <w:rsid w:val="006B514A"/>
    <w:rsid w:val="006D5A82"/>
    <w:rsid w:val="006E5FE3"/>
    <w:rsid w:val="00705E80"/>
    <w:rsid w:val="0070656D"/>
    <w:rsid w:val="00712B40"/>
    <w:rsid w:val="007144D2"/>
    <w:rsid w:val="00722BB0"/>
    <w:rsid w:val="00724221"/>
    <w:rsid w:val="00730C89"/>
    <w:rsid w:val="0073589E"/>
    <w:rsid w:val="0074489E"/>
    <w:rsid w:val="007454C3"/>
    <w:rsid w:val="0075253B"/>
    <w:rsid w:val="007567A8"/>
    <w:rsid w:val="007612C5"/>
    <w:rsid w:val="00761D09"/>
    <w:rsid w:val="00764913"/>
    <w:rsid w:val="007744B0"/>
    <w:rsid w:val="007B6DA0"/>
    <w:rsid w:val="007F4F0D"/>
    <w:rsid w:val="00803AF6"/>
    <w:rsid w:val="00803C9D"/>
    <w:rsid w:val="008235F2"/>
    <w:rsid w:val="00855911"/>
    <w:rsid w:val="00872B00"/>
    <w:rsid w:val="008965D4"/>
    <w:rsid w:val="00896A1C"/>
    <w:rsid w:val="008A0061"/>
    <w:rsid w:val="008A1B5A"/>
    <w:rsid w:val="008A5BF6"/>
    <w:rsid w:val="008C2EF6"/>
    <w:rsid w:val="008D1361"/>
    <w:rsid w:val="008E3C29"/>
    <w:rsid w:val="008E63CA"/>
    <w:rsid w:val="008E70CF"/>
    <w:rsid w:val="008E74FF"/>
    <w:rsid w:val="008F6379"/>
    <w:rsid w:val="009027A6"/>
    <w:rsid w:val="00914231"/>
    <w:rsid w:val="00921A0E"/>
    <w:rsid w:val="009256C4"/>
    <w:rsid w:val="00931750"/>
    <w:rsid w:val="009324A8"/>
    <w:rsid w:val="0093594A"/>
    <w:rsid w:val="009409EF"/>
    <w:rsid w:val="00963614"/>
    <w:rsid w:val="00975269"/>
    <w:rsid w:val="00997309"/>
    <w:rsid w:val="009A0D5F"/>
    <w:rsid w:val="009B005F"/>
    <w:rsid w:val="009C54D9"/>
    <w:rsid w:val="009C7E08"/>
    <w:rsid w:val="009C7F04"/>
    <w:rsid w:val="009D5C5F"/>
    <w:rsid w:val="00A046F6"/>
    <w:rsid w:val="00A06151"/>
    <w:rsid w:val="00A302CF"/>
    <w:rsid w:val="00A42069"/>
    <w:rsid w:val="00A43FDD"/>
    <w:rsid w:val="00A459B6"/>
    <w:rsid w:val="00A52E00"/>
    <w:rsid w:val="00A61912"/>
    <w:rsid w:val="00A631D0"/>
    <w:rsid w:val="00A63BD1"/>
    <w:rsid w:val="00A65011"/>
    <w:rsid w:val="00A712DC"/>
    <w:rsid w:val="00A75F40"/>
    <w:rsid w:val="00AA5917"/>
    <w:rsid w:val="00AB0F1E"/>
    <w:rsid w:val="00AB53FC"/>
    <w:rsid w:val="00AC3CEA"/>
    <w:rsid w:val="00AC5B84"/>
    <w:rsid w:val="00AD5912"/>
    <w:rsid w:val="00AD706F"/>
    <w:rsid w:val="00AE607C"/>
    <w:rsid w:val="00AF558E"/>
    <w:rsid w:val="00AF6905"/>
    <w:rsid w:val="00B039DD"/>
    <w:rsid w:val="00B2377C"/>
    <w:rsid w:val="00B238A5"/>
    <w:rsid w:val="00B2676D"/>
    <w:rsid w:val="00B32718"/>
    <w:rsid w:val="00B3463E"/>
    <w:rsid w:val="00B722B1"/>
    <w:rsid w:val="00B72C40"/>
    <w:rsid w:val="00BA3F37"/>
    <w:rsid w:val="00BB2CB3"/>
    <w:rsid w:val="00BB688C"/>
    <w:rsid w:val="00BC55F7"/>
    <w:rsid w:val="00BE1295"/>
    <w:rsid w:val="00BE5EF2"/>
    <w:rsid w:val="00BF4249"/>
    <w:rsid w:val="00C017E5"/>
    <w:rsid w:val="00C1056B"/>
    <w:rsid w:val="00C16EB6"/>
    <w:rsid w:val="00C24D95"/>
    <w:rsid w:val="00C4163E"/>
    <w:rsid w:val="00C44F37"/>
    <w:rsid w:val="00C5667A"/>
    <w:rsid w:val="00C663BD"/>
    <w:rsid w:val="00C74718"/>
    <w:rsid w:val="00C7693E"/>
    <w:rsid w:val="00C84E37"/>
    <w:rsid w:val="00C84F18"/>
    <w:rsid w:val="00C90039"/>
    <w:rsid w:val="00C94B90"/>
    <w:rsid w:val="00CA7FE5"/>
    <w:rsid w:val="00CB2B1B"/>
    <w:rsid w:val="00CC0518"/>
    <w:rsid w:val="00CD0C76"/>
    <w:rsid w:val="00CF191B"/>
    <w:rsid w:val="00D022E0"/>
    <w:rsid w:val="00D122C5"/>
    <w:rsid w:val="00D13584"/>
    <w:rsid w:val="00D1358A"/>
    <w:rsid w:val="00D20148"/>
    <w:rsid w:val="00D2177A"/>
    <w:rsid w:val="00D228A9"/>
    <w:rsid w:val="00D231C7"/>
    <w:rsid w:val="00D35E00"/>
    <w:rsid w:val="00D4387A"/>
    <w:rsid w:val="00D639F7"/>
    <w:rsid w:val="00D66007"/>
    <w:rsid w:val="00D91E5D"/>
    <w:rsid w:val="00D9559F"/>
    <w:rsid w:val="00D959A2"/>
    <w:rsid w:val="00DB0C84"/>
    <w:rsid w:val="00DB1F58"/>
    <w:rsid w:val="00DB4420"/>
    <w:rsid w:val="00DB68F7"/>
    <w:rsid w:val="00DF0572"/>
    <w:rsid w:val="00E10730"/>
    <w:rsid w:val="00E11CB5"/>
    <w:rsid w:val="00E2234A"/>
    <w:rsid w:val="00E27D92"/>
    <w:rsid w:val="00E453AE"/>
    <w:rsid w:val="00E6467A"/>
    <w:rsid w:val="00E66DCB"/>
    <w:rsid w:val="00E74937"/>
    <w:rsid w:val="00EA145D"/>
    <w:rsid w:val="00EA66EC"/>
    <w:rsid w:val="00EB7C59"/>
    <w:rsid w:val="00EE2155"/>
    <w:rsid w:val="00EE485D"/>
    <w:rsid w:val="00EE7E62"/>
    <w:rsid w:val="00F05CED"/>
    <w:rsid w:val="00F2548F"/>
    <w:rsid w:val="00F25F04"/>
    <w:rsid w:val="00F5641C"/>
    <w:rsid w:val="00F66B58"/>
    <w:rsid w:val="00F76CCC"/>
    <w:rsid w:val="00F8273E"/>
    <w:rsid w:val="00F8280C"/>
    <w:rsid w:val="00F92B7B"/>
    <w:rsid w:val="00FA39E9"/>
    <w:rsid w:val="00FA5949"/>
    <w:rsid w:val="00FF3BE2"/>
    <w:rsid w:val="00FF41CC"/>
    <w:rsid w:val="0FC7264A"/>
    <w:rsid w:val="18EF2D0E"/>
    <w:rsid w:val="2FCD18E1"/>
    <w:rsid w:val="3AC35FF7"/>
    <w:rsid w:val="45366373"/>
    <w:rsid w:val="56445947"/>
    <w:rsid w:val="7F332D01"/>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2">
    <w:name w:val="Body Text Indent"/>
    <w:basedOn w:val="1"/>
    <w:qFormat/>
    <w:uiPriority w:val="0"/>
    <w:pPr>
      <w:ind w:firstLine="420" w:firstLineChars="200"/>
    </w:pPr>
  </w:style>
  <w:style w:type="paragraph" w:styleId="3">
    <w:name w:val="Balloon Text"/>
    <w:basedOn w:val="1"/>
    <w:semiHidden/>
    <w:uiPriority w:val="0"/>
    <w:rPr>
      <w:sz w:val="18"/>
      <w:szCs w:val="18"/>
    </w:rPr>
  </w:style>
  <w:style w:type="paragraph" w:styleId="4">
    <w:name w:val="footer"/>
    <w:basedOn w:val="1"/>
    <w:link w:val="12"/>
    <w:uiPriority w:val="99"/>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color w:val="000000"/>
      <w:kern w:val="0"/>
      <w:sz w:val="24"/>
    </w:rPr>
  </w:style>
  <w:style w:type="character" w:styleId="8">
    <w:name w:val="Strong"/>
    <w:basedOn w:val="7"/>
    <w:qFormat/>
    <w:uiPriority w:val="0"/>
    <w:rPr>
      <w:b/>
      <w:bCs/>
    </w:rPr>
  </w:style>
  <w:style w:type="character" w:styleId="9">
    <w:name w:val="page number"/>
    <w:basedOn w:val="7"/>
    <w:qFormat/>
    <w:uiPriority w:val="0"/>
  </w:style>
  <w:style w:type="character" w:styleId="10">
    <w:name w:val="Emphasis"/>
    <w:basedOn w:val="7"/>
    <w:qFormat/>
    <w:uiPriority w:val="20"/>
    <w:rPr>
      <w:color w:val="CC0000"/>
    </w:rPr>
  </w:style>
  <w:style w:type="character" w:customStyle="1" w:styleId="12">
    <w:name w:val="页脚 Char"/>
    <w:basedOn w:val="7"/>
    <w:link w:val="4"/>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DC819E-BDD0-4127-A3FF-66CF6F2E4529}">
  <ds:schemaRefs/>
</ds:datastoreItem>
</file>

<file path=docProps/app.xml><?xml version="1.0" encoding="utf-8"?>
<Properties xmlns="http://schemas.openxmlformats.org/officeDocument/2006/extended-properties" xmlns:vt="http://schemas.openxmlformats.org/officeDocument/2006/docPropsVTypes">
  <Template>Normal</Template>
  <Pages>7</Pages>
  <Words>449</Words>
  <Characters>2564</Characters>
  <Lines>21</Lines>
  <Paragraphs>6</Paragraphs>
  <ScaleCrop>false</ScaleCrop>
  <LinksUpToDate>false</LinksUpToDate>
  <CharactersWithSpaces>3007</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2021-04-06T07:11:00Z</dcterms:created>
  <dc:creator>user</dc:creator>
  <cp:lastModifiedBy>林微</cp:lastModifiedBy>
  <cp:lastPrinted>2021-03-29T00:33:00Z</cp:lastPrinted>
  <dcterms:modified xsi:type="dcterms:W3CDTF">2021-04-13T03:13:34Z</dcterms:modified>
  <dc:title>厦门市教育科学规划课题管理办法</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